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57E3E" w:rsidTr="00157E3E">
        <w:trPr>
          <w:trHeight w:val="1418"/>
        </w:trPr>
        <w:tc>
          <w:tcPr>
            <w:tcW w:w="2235" w:type="dxa"/>
            <w:hideMark/>
          </w:tcPr>
          <w:p w:rsidR="00157E3E" w:rsidRDefault="00157E3E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</w:rPr>
              <w:t xml:space="preserve"> </w:t>
            </w:r>
          </w:p>
        </w:tc>
        <w:tc>
          <w:tcPr>
            <w:tcW w:w="7229" w:type="dxa"/>
          </w:tcPr>
          <w:p w:rsidR="00157E3E" w:rsidRDefault="00157E3E">
            <w:pPr>
              <w:keepNext/>
              <w:spacing w:line="260" w:lineRule="atLeast"/>
              <w:outlineLvl w:val="0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157E3E" w:rsidRDefault="00157E3E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157E3E" w:rsidRDefault="00157E3E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Calibri" w:eastAsia="Calibri" w:hAnsi="Calibri" w:cs="Calibri"/>
                <w:color w:val="003B6F"/>
                <w:sz w:val="18"/>
                <w:szCs w:val="22"/>
              </w:rPr>
            </w:pPr>
            <w:r>
              <w:rPr>
                <w:rFonts w:eastAsia="Calibri" w:cs="Calibri"/>
                <w:color w:val="003B6F"/>
                <w:sz w:val="18"/>
              </w:rPr>
              <w:t xml:space="preserve">20-072, Lublin, ul. Lubomelska 1-3 </w:t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eastAsia="Calibri" w:cs="Calibri"/>
                <w:color w:val="003B6F"/>
                <w:sz w:val="18"/>
              </w:rPr>
            </w:pPr>
            <w:r>
              <w:rPr>
                <w:rFonts w:eastAsia="Calibri" w:cs="Calibri"/>
                <w:color w:val="003B6F"/>
                <w:sz w:val="18"/>
              </w:rPr>
              <w:t>tel. 81 524 51 08, 81 524 51 09, fax 81 759 09 94</w:t>
            </w:r>
            <w:r>
              <w:rPr>
                <w:rFonts w:eastAsia="Calibri" w:cs="Calibri"/>
                <w:color w:val="003B6F"/>
                <w:sz w:val="18"/>
              </w:rPr>
              <w:tab/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</w:rPr>
            </w:pPr>
            <w:r>
              <w:rPr>
                <w:rFonts w:eastAsia="Calibri" w:cs="Calibri"/>
                <w:color w:val="003B6F"/>
                <w:sz w:val="18"/>
              </w:rPr>
              <w:t>lubelska@ohp.pl, www.lubelska.ohp.pl</w:t>
            </w:r>
          </w:p>
        </w:tc>
      </w:tr>
    </w:tbl>
    <w:p w:rsidR="00157E3E" w:rsidRDefault="00E95D4B" w:rsidP="00157E3E">
      <w:pPr>
        <w:rPr>
          <w:b/>
          <w:color w:val="000000"/>
        </w:rPr>
      </w:pPr>
      <w:r>
        <w:rPr>
          <w:b/>
        </w:rPr>
        <w:t>LWK.OSIW.W</w:t>
      </w:r>
      <w:r w:rsidR="00157E3E">
        <w:rPr>
          <w:b/>
        </w:rPr>
        <w:t>.270.</w:t>
      </w:r>
      <w:r w:rsidR="006C694A">
        <w:rPr>
          <w:b/>
        </w:rPr>
        <w:t>12.</w:t>
      </w:r>
      <w:bookmarkStart w:id="0" w:name="_GoBack"/>
      <w:bookmarkEnd w:id="0"/>
      <w:r w:rsidR="00157E3E">
        <w:rPr>
          <w:b/>
        </w:rPr>
        <w:t xml:space="preserve">2019       </w:t>
      </w:r>
    </w:p>
    <w:p w:rsidR="00C56BE8" w:rsidRDefault="00157E3E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</w:t>
      </w:r>
      <w:r w:rsidR="007B74DE">
        <w:rPr>
          <w:b/>
          <w:color w:val="000000"/>
          <w:highlight w:val="white"/>
        </w:rPr>
        <w:t xml:space="preserve"> 3 </w:t>
      </w:r>
      <w:r w:rsidR="003677CC">
        <w:rPr>
          <w:b/>
          <w:color w:val="000000"/>
          <w:highlight w:val="white"/>
        </w:rPr>
        <w:t xml:space="preserve">do </w:t>
      </w:r>
      <w:r w:rsidR="007B74DE">
        <w:rPr>
          <w:b/>
          <w:color w:val="000000"/>
          <w:highlight w:val="white"/>
        </w:rPr>
        <w:t xml:space="preserve">SIWZ 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C62939" w:rsidRDefault="00C62939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157E3E" w:rsidRDefault="00C62939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8"/>
          <w:szCs w:val="28"/>
        </w:rPr>
      </w:pPr>
      <w:r w:rsidRPr="00C62939">
        <w:rPr>
          <w:b/>
          <w:color w:val="000000"/>
          <w:sz w:val="28"/>
          <w:szCs w:val="28"/>
        </w:rPr>
        <w:t xml:space="preserve">Sukcesywna dostawa  artykułów żywnościowych  do Ośrodka Szkolenia i Wychowania we Włodawie </w:t>
      </w:r>
      <w:r w:rsidR="004D0147">
        <w:rPr>
          <w:b/>
          <w:color w:val="000000"/>
          <w:sz w:val="28"/>
          <w:szCs w:val="28"/>
        </w:rPr>
        <w:t xml:space="preserve"> - 8 części </w:t>
      </w:r>
    </w:p>
    <w:p w:rsidR="00C62939" w:rsidRPr="00C62939" w:rsidRDefault="00C62939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8"/>
          <w:szCs w:val="28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771C4F" w:rsidRPr="00771C4F" w:rsidRDefault="003B7B41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1</w:t>
      </w:r>
      <w:r w:rsidR="00771C4F" w:rsidRPr="00771C4F">
        <w:rPr>
          <w:rFonts w:ascii="Times New Roman" w:hAnsi="Times New Roman" w:cs="Times New Roman"/>
          <w:bCs/>
          <w:sz w:val="22"/>
          <w:szCs w:val="22"/>
        </w:rPr>
        <w:t>)wykonawcę będącego osobą fizyczną, którego prawomocnie skazano za przestępstwo: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a)o którym mowa wart.165a, art.181–188, art.189a, art.218–221, art.228–230a, art.250a, art.258 lubart.270–309 ustawy z dnia 6czerwca 1997r. –Kodeks karny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1600) lubart.46 lubart.48 ustawy z dnia 25czerwca 2010r. o sporcie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1263i 1669),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b) o charakterze terrorystycznym, o którym mowa wart.115§20ustawyzdnia 6czerwca 1997r. –Kodeks karny,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d) o którym mowa wart.9lubart.10 ustawy z dnia 15czerwca 2012r. o skutkach powierzania wykonywania pracy cudzoziemcom przebywającym wbrew przepisom na terytorium Rzeczypospolitej Polskiej (Dz.U. poz.769);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jeżeli urzędującego członka jego organu zarządzającego lub nadzorczego, wspólnika spółki współce jawnej  lub  partnerskiej  albo  komplementariusza  współce komandytowej lub komandytowo-akcyjnej  lub  prokurenta prawomocnie skazano za prze</w:t>
      </w:r>
      <w:r>
        <w:rPr>
          <w:rFonts w:ascii="Times New Roman" w:hAnsi="Times New Roman" w:cs="Times New Roman"/>
          <w:bCs/>
          <w:sz w:val="22"/>
          <w:szCs w:val="22"/>
        </w:rPr>
        <w:t>stępstwo, o którym mowa w pkt 1</w:t>
      </w:r>
      <w:r w:rsidRPr="00771C4F">
        <w:rPr>
          <w:rFonts w:ascii="Times New Roman" w:hAnsi="Times New Roman" w:cs="Times New Roman"/>
          <w:bCs/>
          <w:sz w:val="22"/>
          <w:szCs w:val="22"/>
        </w:rPr>
        <w:t>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 lub grzywnami lub zawarł wiążące porozumienie w sprawie spłaty tych należności;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 nie  jest  wstanie przedstawić wymaganych dokumentów;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5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lekkomyślności lub niedbalstwa przedstawił informacje wprowadzające w błąd zamawiającego, mogące mieć istotny wpływ na decyzje podejmowane przez zamawiającego w postępowaniu 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bezprawnie wpływał lub próbował wpłynąć na czynności zamawiającego lub pozyskać informacje poufne, mogące dać mu przewagę w postępowaniu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 który  brał  udział w przygotowaniu  postępowania  o udzielenie  zamówienia  lub  którego  pracownik, a także osoba wykonująca pracę na podstawie umowy zlecenia, o dzieło, agencyjnej lub innej umowy oświadczenie usług, brał udział w przygotowaniu takiego postępowania, chyba że spowodowane tym zakłócenie konkurencji może być wyeliminowane winny sposób niż przez wykluczenie wykonawcy z udziału w postępowaniu;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z innymi wykonawcami zawarł porozumienie mające na celu zakłócenie konkurencji między wykonawcami w postępowaniu o udzielenie zamówienia, co zamawiający jest wstanie wykazać za pomocą stosownych środków dowodowych;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 będącego podmiotem zbiorowym, wobec którego sąd orzekł zakaz ubiegania się o zamówienia publiczne na podstawie ustawy z dnia 28października 2002r. o odpowiedzialności podmiotów zbiorowych za czyny zabronione pod groźbą kary </w:t>
      </w:r>
      <w:r w:rsidR="00C21250">
        <w:rPr>
          <w:rFonts w:ascii="Times New Roman" w:hAnsi="Times New Roman" w:cs="Times New Roman"/>
          <w:bCs/>
          <w:sz w:val="22"/>
          <w:szCs w:val="22"/>
        </w:rPr>
        <w:t>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>U.z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r, 628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orzeczono tytułem środka zapobiegawczego zakaz ubiegania się o zamówienia publiczne;</w:t>
      </w:r>
    </w:p>
    <w:p w:rsidR="003B3EC2" w:rsidRDefault="00771C4F" w:rsidP="00FE65F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)wykonawców, którzy należąc do tej samej grupy kapitałowej, w rozumieniu ustawy z dnia 16lutego 2007r. o ochro-nie konkurencji i konsumentów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.z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r. poz. 369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), złożyli odrębne oferty, oferty częściowe  lub wnioski o dopuszczenie  do udziału w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postępowaniu, chyba że wykażą, że istniejące między nimi powiązania nie prowadzą do zakłócenia konkurencji w postępowaniu o udzielenie zamówienia: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4C1FC2" w:rsidRPr="00E3583F" w:rsidRDefault="004C1FC2" w:rsidP="00FE65FE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4C1FC2" w:rsidRPr="00E3583F" w:rsidRDefault="004C1FC2" w:rsidP="00FE65FE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867E33" w:rsidRDefault="00867E33" w:rsidP="00FE65FE">
      <w:pPr>
        <w:spacing w:line="276" w:lineRule="auto"/>
        <w:rPr>
          <w:sz w:val="22"/>
          <w:szCs w:val="22"/>
        </w:rPr>
      </w:pPr>
    </w:p>
    <w:p w:rsidR="00771C4F" w:rsidRPr="00771C4F" w:rsidRDefault="00DE2AED" w:rsidP="00FE65F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71C4F" w:rsidRPr="00771C4F">
        <w:rPr>
          <w:sz w:val="22"/>
          <w:szCs w:val="22"/>
        </w:rPr>
        <w:t xml:space="preserve">) oraz  zgodnie z art. 24 ust 5  pkt 1 - z postępowania o udzielenie zamówienia wyklucza się Wykonawcę </w:t>
      </w:r>
      <w:r w:rsidR="00FE65FE" w:rsidRPr="00FE65FE">
        <w:rPr>
          <w:sz w:val="22"/>
          <w:szCs w:val="22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art.332ust.1ustawyzdnia  15maja  2015r. –Prawo  restrukturyzacyjne  (Dz.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U.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z 2017  r.  poz.  1508 oraz z 2018 r. poz. 149,398, 1544i 1629) lub którego upadłość ogłoszono, z wyjątkiem wykonawcy, który po ogłoszeniu upadłości zawarł układ zatwierdzony prawomocnym postanowieniem sądu, je-żeli układ nie przewiduje zaspo-kojenia  wierzycieli  przez  likwidację majątku upadłego, chyba że sąd zarządził likwidację jego majątku trybie art.366ust.1 ustawy z dnia 28lutego 2003r. –Prawo upadłościowe (Dz.U.z2017 r. poz. 2344 i 2491 oraz z 2018 r. poz. 398,685, 1544i 1629);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416185" w:rsidRPr="003B7B41" w:rsidRDefault="006C694A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9099A"/>
    <w:rsid w:val="000A634C"/>
    <w:rsid w:val="00105900"/>
    <w:rsid w:val="00157E3E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4D0147"/>
    <w:rsid w:val="005205BD"/>
    <w:rsid w:val="00527EEE"/>
    <w:rsid w:val="005D16B1"/>
    <w:rsid w:val="00613843"/>
    <w:rsid w:val="00624C43"/>
    <w:rsid w:val="00647859"/>
    <w:rsid w:val="006C694A"/>
    <w:rsid w:val="007003A2"/>
    <w:rsid w:val="00750B73"/>
    <w:rsid w:val="00755767"/>
    <w:rsid w:val="00771C4F"/>
    <w:rsid w:val="007B21BC"/>
    <w:rsid w:val="007B74DE"/>
    <w:rsid w:val="007D0A78"/>
    <w:rsid w:val="007D3C5A"/>
    <w:rsid w:val="007D6017"/>
    <w:rsid w:val="00803C01"/>
    <w:rsid w:val="00814A87"/>
    <w:rsid w:val="00840484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C62939"/>
    <w:rsid w:val="00D54FED"/>
    <w:rsid w:val="00D83174"/>
    <w:rsid w:val="00DE2AED"/>
    <w:rsid w:val="00DF3A09"/>
    <w:rsid w:val="00DF5F22"/>
    <w:rsid w:val="00E11ABD"/>
    <w:rsid w:val="00E3583F"/>
    <w:rsid w:val="00E95D4B"/>
    <w:rsid w:val="00EA6EDB"/>
    <w:rsid w:val="00EB2C2A"/>
    <w:rsid w:val="00EC1106"/>
    <w:rsid w:val="00F315BA"/>
    <w:rsid w:val="00F43F2C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B4306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F3782-B165-4119-89E1-62D8744F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7</cp:revision>
  <dcterms:created xsi:type="dcterms:W3CDTF">2019-10-16T09:30:00Z</dcterms:created>
  <dcterms:modified xsi:type="dcterms:W3CDTF">2019-12-05T12:44:00Z</dcterms:modified>
</cp:coreProperties>
</file>